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88964" w14:textId="67039C8A" w:rsidR="008D1FE1" w:rsidRDefault="006A30C8">
      <w:pPr>
        <w:pStyle w:val="Standard"/>
        <w:pageBreakBefore/>
        <w:spacing w:before="117" w:after="117" w:line="312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ANEXO V</w:t>
      </w:r>
      <w:r>
        <w:rPr>
          <w:rFonts w:ascii="Arial" w:hAnsi="Arial" w:cs="Arial"/>
          <w:b/>
          <w:bCs/>
          <w:sz w:val="20"/>
          <w:szCs w:val="20"/>
        </w:rPr>
        <w:t xml:space="preserve"> – CHECKLIST HABILITAÇÃO</w:t>
      </w:r>
    </w:p>
    <w:p w14:paraId="1CDBA62F" w14:textId="77777777" w:rsidR="008D1FE1" w:rsidRDefault="006A30C8">
      <w:pPr>
        <w:pStyle w:val="Standard"/>
        <w:spacing w:before="117" w:after="117" w:line="312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INSTITUTO FEDERAL CATARINENSE CAMPUS BLUMENAU</w:t>
      </w:r>
    </w:p>
    <w:p w14:paraId="31831F49" w14:textId="31E02A43" w:rsidR="008D1FE1" w:rsidRDefault="006A30C8">
      <w:pPr>
        <w:pStyle w:val="Standard"/>
        <w:spacing w:before="117" w:after="117" w:line="312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PREGÃO ELETRÔNICO Nº 90</w:t>
      </w:r>
      <w:r w:rsidR="00A34AC8">
        <w:rPr>
          <w:rFonts w:ascii="Arial" w:hAnsi="Arial" w:cs="Arial"/>
          <w:b/>
          <w:color w:val="000000"/>
          <w:sz w:val="20"/>
          <w:szCs w:val="20"/>
        </w:rPr>
        <w:t>562</w:t>
      </w:r>
      <w:r>
        <w:rPr>
          <w:rFonts w:ascii="Arial" w:hAnsi="Arial" w:cs="Arial"/>
          <w:b/>
          <w:color w:val="000000"/>
          <w:sz w:val="20"/>
          <w:szCs w:val="20"/>
        </w:rPr>
        <w:t>/2025</w:t>
      </w:r>
    </w:p>
    <w:p w14:paraId="0E53EE91" w14:textId="58E270EF" w:rsidR="008D1FE1" w:rsidRDefault="006A30C8">
      <w:pPr>
        <w:pStyle w:val="Standard"/>
        <w:spacing w:before="117" w:after="117" w:line="312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(Processo Administrativo </w:t>
      </w:r>
      <w:r w:rsidRPr="00A34AC8">
        <w:rPr>
          <w:rFonts w:ascii="Arial" w:hAnsi="Arial" w:cs="Arial"/>
          <w:b/>
          <w:bCs/>
          <w:color w:val="000000"/>
          <w:sz w:val="20"/>
          <w:szCs w:val="20"/>
        </w:rPr>
        <w:t>n° 23473.00</w:t>
      </w:r>
      <w:r w:rsidR="00A34AC8" w:rsidRPr="00A34AC8">
        <w:rPr>
          <w:rFonts w:ascii="Arial" w:hAnsi="Arial" w:cs="Arial"/>
          <w:b/>
          <w:bCs/>
          <w:color w:val="000000"/>
          <w:sz w:val="20"/>
          <w:szCs w:val="20"/>
        </w:rPr>
        <w:t>0786</w:t>
      </w:r>
      <w:r w:rsidRPr="00A34AC8">
        <w:rPr>
          <w:rFonts w:ascii="Arial" w:hAnsi="Arial" w:cs="Arial"/>
          <w:b/>
          <w:bCs/>
          <w:color w:val="000000"/>
          <w:sz w:val="20"/>
          <w:szCs w:val="20"/>
        </w:rPr>
        <w:t>/2025-3</w:t>
      </w:r>
      <w:r w:rsidR="00A34AC8" w:rsidRPr="00A34AC8">
        <w:rPr>
          <w:rFonts w:ascii="Arial" w:hAnsi="Arial" w:cs="Arial"/>
          <w:b/>
          <w:bCs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14:paraId="44F3E93F" w14:textId="77777777" w:rsidR="008D1FE1" w:rsidRDefault="008D1FE1">
      <w:pPr>
        <w:pStyle w:val="Standard"/>
        <w:tabs>
          <w:tab w:val="left" w:pos="3108"/>
        </w:tabs>
        <w:jc w:val="center"/>
        <w:rPr>
          <w:rFonts w:ascii="Arial" w:hAnsi="Arial" w:cs="Spranq eco sans"/>
          <w:sz w:val="20"/>
          <w:szCs w:val="20"/>
        </w:rPr>
      </w:pPr>
    </w:p>
    <w:p w14:paraId="5C47F50B" w14:textId="77777777" w:rsidR="008D1FE1" w:rsidRDefault="006A30C8">
      <w:pPr>
        <w:pStyle w:val="Standard"/>
        <w:tabs>
          <w:tab w:val="left" w:pos="709"/>
          <w:tab w:val="left" w:pos="1698"/>
          <w:tab w:val="left" w:pos="2322"/>
          <w:tab w:val="left" w:pos="3401"/>
          <w:tab w:val="left" w:pos="4308"/>
          <w:tab w:val="left" w:pos="5105"/>
          <w:tab w:val="left" w:pos="5952"/>
          <w:tab w:val="left" w:pos="6804"/>
          <w:tab w:val="left" w:pos="7656"/>
          <w:tab w:val="left" w:pos="8508"/>
          <w:tab w:val="left" w:pos="9359"/>
          <w:tab w:val="left" w:pos="10206"/>
          <w:tab w:val="left" w:pos="11058"/>
          <w:tab w:val="left" w:pos="11910"/>
          <w:tab w:val="left" w:pos="12762"/>
          <w:tab w:val="left" w:pos="13613"/>
        </w:tabs>
        <w:ind w:right="21"/>
        <w:jc w:val="both"/>
        <w:rPr>
          <w:rFonts w:ascii="Arial" w:hAnsi="Arial"/>
          <w:color w:val="000000"/>
          <w:spacing w:val="-2"/>
          <w:sz w:val="20"/>
          <w:szCs w:val="20"/>
        </w:rPr>
      </w:pPr>
      <w:r>
        <w:rPr>
          <w:rFonts w:ascii="Arial" w:hAnsi="Arial"/>
          <w:color w:val="000000"/>
          <w:spacing w:val="-2"/>
          <w:sz w:val="20"/>
          <w:szCs w:val="20"/>
        </w:rPr>
        <w:t xml:space="preserve">Este documento </w:t>
      </w:r>
      <w:r>
        <w:rPr>
          <w:rFonts w:ascii="Arial" w:hAnsi="Arial"/>
          <w:b/>
          <w:bCs/>
          <w:color w:val="000000"/>
          <w:spacing w:val="-2"/>
          <w:sz w:val="20"/>
          <w:szCs w:val="20"/>
        </w:rPr>
        <w:t>não</w:t>
      </w:r>
      <w:r>
        <w:rPr>
          <w:rFonts w:ascii="Arial" w:hAnsi="Arial"/>
          <w:color w:val="000000"/>
          <w:spacing w:val="-2"/>
          <w:sz w:val="20"/>
          <w:szCs w:val="20"/>
        </w:rPr>
        <w:t xml:space="preserve"> exime a empresa da obrigação de se ater às cláusulas editalícias. O respectivo documento serve como “checklist” para facilitar a entrega da documentação de habilitação.</w:t>
      </w:r>
    </w:p>
    <w:p w14:paraId="4F909B0F" w14:textId="77777777" w:rsidR="008D1FE1" w:rsidRDefault="008D1FE1">
      <w:pPr>
        <w:pStyle w:val="Standard"/>
        <w:tabs>
          <w:tab w:val="left" w:pos="709"/>
          <w:tab w:val="left" w:pos="1698"/>
          <w:tab w:val="left" w:pos="2322"/>
          <w:tab w:val="left" w:pos="3401"/>
          <w:tab w:val="left" w:pos="4308"/>
          <w:tab w:val="left" w:pos="5105"/>
          <w:tab w:val="left" w:pos="5952"/>
          <w:tab w:val="left" w:pos="6804"/>
          <w:tab w:val="left" w:pos="7656"/>
          <w:tab w:val="left" w:pos="8508"/>
          <w:tab w:val="left" w:pos="9359"/>
          <w:tab w:val="left" w:pos="10206"/>
          <w:tab w:val="left" w:pos="11058"/>
          <w:tab w:val="left" w:pos="11910"/>
          <w:tab w:val="left" w:pos="12762"/>
          <w:tab w:val="left" w:pos="13613"/>
        </w:tabs>
        <w:ind w:right="21"/>
        <w:jc w:val="both"/>
        <w:rPr>
          <w:rFonts w:ascii="Arial" w:hAnsi="Arial"/>
          <w:color w:val="000000"/>
          <w:spacing w:val="-2"/>
          <w:sz w:val="20"/>
          <w:szCs w:val="20"/>
        </w:rPr>
      </w:pPr>
    </w:p>
    <w:p w14:paraId="79997626" w14:textId="77777777" w:rsidR="008D1FE1" w:rsidRDefault="006A30C8">
      <w:pPr>
        <w:pStyle w:val="Standard"/>
        <w:tabs>
          <w:tab w:val="left" w:pos="0"/>
          <w:tab w:val="left" w:pos="709"/>
        </w:tabs>
        <w:ind w:right="21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Licitante:</w:t>
      </w:r>
    </w:p>
    <w:p w14:paraId="0F5678A2" w14:textId="77777777" w:rsidR="008D1FE1" w:rsidRDefault="008D1FE1">
      <w:pPr>
        <w:pStyle w:val="Standard"/>
        <w:tabs>
          <w:tab w:val="left" w:pos="0"/>
          <w:tab w:val="left" w:pos="709"/>
        </w:tabs>
        <w:ind w:right="21"/>
        <w:jc w:val="both"/>
        <w:rPr>
          <w:rFonts w:ascii="Arial" w:hAnsi="Arial" w:cs="Spranq eco sans"/>
          <w:b/>
          <w:bCs/>
          <w:color w:val="000000"/>
          <w:w w:val="90"/>
          <w:sz w:val="20"/>
          <w:szCs w:val="20"/>
        </w:rPr>
      </w:pP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5"/>
        <w:gridCol w:w="4547"/>
        <w:gridCol w:w="4073"/>
      </w:tblGrid>
      <w:tr w:rsidR="008D1FE1" w14:paraId="1A768369" w14:textId="77777777">
        <w:tblPrEx>
          <w:tblCellMar>
            <w:top w:w="0" w:type="dxa"/>
            <w:bottom w:w="0" w:type="dxa"/>
          </w:tblCellMar>
        </w:tblPrEx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5E96D4" w14:textId="77777777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Item Editalício</w:t>
            </w:r>
          </w:p>
        </w:tc>
        <w:tc>
          <w:tcPr>
            <w:tcW w:w="4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CCEA6D" w14:textId="77777777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Descrição Sucinta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A4644" w14:textId="77777777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Condição/OBS</w:t>
            </w:r>
          </w:p>
        </w:tc>
      </w:tr>
      <w:tr w:rsidR="008D1FE1" w14:paraId="0586A1B0" w14:textId="77777777">
        <w:tblPrEx>
          <w:tblCellMar>
            <w:top w:w="0" w:type="dxa"/>
            <w:bottom w:w="0" w:type="dxa"/>
          </w:tblCellMar>
        </w:tblPrEx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9C0B6A" w14:textId="60208FAC" w:rsidR="008D1FE1" w:rsidRDefault="00597481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7.26.5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6ECB28" w14:textId="05585ECE" w:rsidR="008D1FE1" w:rsidRDefault="006A30C8">
            <w:pPr>
              <w:pStyle w:val="Standard"/>
              <w:jc w:val="both"/>
              <w:rPr>
                <w:rFonts w:ascii="Arial" w:eastAsia="Lucida Sans Unicode" w:hAnsi="Arial"/>
                <w:b/>
                <w:bCs/>
                <w:sz w:val="20"/>
                <w:szCs w:val="20"/>
              </w:rPr>
            </w:pPr>
            <w:r>
              <w:rPr>
                <w:rFonts w:ascii="Arial" w:eastAsia="Lucida Sans Unicode" w:hAnsi="Arial"/>
                <w:b/>
                <w:bCs/>
                <w:sz w:val="20"/>
                <w:szCs w:val="20"/>
              </w:rPr>
              <w:t xml:space="preserve">Anexo </w:t>
            </w:r>
            <w:r w:rsidR="00597481">
              <w:rPr>
                <w:rFonts w:ascii="Arial" w:eastAsia="Lucida Sans Unicode" w:hAnsi="Arial"/>
                <w:b/>
                <w:bCs/>
                <w:sz w:val="20"/>
                <w:szCs w:val="20"/>
              </w:rPr>
              <w:t>III</w:t>
            </w:r>
            <w:r>
              <w:rPr>
                <w:rFonts w:ascii="Arial" w:eastAsia="Lucida Sans Unicode" w:hAnsi="Arial"/>
                <w:b/>
                <w:bCs/>
                <w:sz w:val="20"/>
                <w:szCs w:val="20"/>
              </w:rPr>
              <w:t xml:space="preserve"> – Proposta Final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749BB8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010DF9A4" w14:textId="77777777">
        <w:tblPrEx>
          <w:tblCellMar>
            <w:top w:w="0" w:type="dxa"/>
            <w:bottom w:w="0" w:type="dxa"/>
          </w:tblCellMar>
        </w:tblPrEx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1897B" w14:textId="1B271F64" w:rsidR="008D1FE1" w:rsidRDefault="00597481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8</w:t>
            </w:r>
            <w:r w:rsidR="006A30C8">
              <w:rPr>
                <w:rFonts w:ascii="Arial" w:hAnsi="Arial"/>
                <w:b/>
                <w:bCs/>
                <w:sz w:val="20"/>
                <w:szCs w:val="20"/>
              </w:rPr>
              <w:t>.1.1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4416BD" w14:textId="77777777" w:rsidR="008D1FE1" w:rsidRDefault="006A30C8">
            <w:pPr>
              <w:pStyle w:val="Standard"/>
              <w:jc w:val="both"/>
              <w:rPr>
                <w:rFonts w:ascii="Arial" w:eastAsia="Lucida Sans Unicode" w:hAnsi="Arial"/>
                <w:b/>
                <w:bCs/>
                <w:sz w:val="20"/>
                <w:szCs w:val="20"/>
              </w:rPr>
            </w:pPr>
            <w:r>
              <w:rPr>
                <w:rFonts w:ascii="Arial" w:eastAsia="Lucida Sans Unicode" w:hAnsi="Arial"/>
                <w:b/>
                <w:bCs/>
                <w:sz w:val="20"/>
                <w:szCs w:val="20"/>
              </w:rPr>
              <w:t>SICAF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292F73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5BDF1502" w14:textId="77777777">
        <w:tblPrEx>
          <w:tblCellMar>
            <w:top w:w="0" w:type="dxa"/>
            <w:bottom w:w="0" w:type="dxa"/>
          </w:tblCellMar>
        </w:tblPrEx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2EB82A" w14:textId="67441E2F" w:rsidR="008D1FE1" w:rsidRDefault="00597481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8</w:t>
            </w:r>
            <w:r w:rsidR="006A30C8">
              <w:rPr>
                <w:rFonts w:ascii="Arial" w:hAnsi="Arial"/>
                <w:b/>
                <w:bCs/>
                <w:sz w:val="20"/>
                <w:szCs w:val="20"/>
              </w:rPr>
              <w:t>.1.2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5BD47A" w14:textId="77777777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Spranq eco sans"/>
                <w:b/>
                <w:bCs/>
                <w:color w:val="000000"/>
                <w:sz w:val="20"/>
                <w:szCs w:val="20"/>
              </w:rPr>
              <w:t>Cadastro Nacional de Empresas Punidas – CNEP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F3465C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2AEDBEFF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E0A09" w14:textId="5F06293B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9.4 a 9.</w:t>
            </w:r>
            <w:r w:rsidR="00803931">
              <w:rPr>
                <w:rFonts w:ascii="Arial" w:hAnsi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43E8E5" w14:textId="012DB387" w:rsidR="008D1FE1" w:rsidRDefault="00031353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eastAsia="Lucida Sans Unicode" w:hAnsi="Arial" w:cs="Spranq eco sans"/>
                <w:b/>
                <w:bCs/>
                <w:color w:val="000000"/>
                <w:w w:val="90"/>
                <w:sz w:val="20"/>
                <w:szCs w:val="20"/>
              </w:rPr>
            </w:pPr>
            <w:r>
              <w:rPr>
                <w:rFonts w:ascii="Arial" w:eastAsia="Lucida Sans Unicode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>ANEXO II</w:t>
            </w:r>
            <w:r w:rsidR="006A30C8">
              <w:rPr>
                <w:rFonts w:ascii="Arial" w:eastAsia="Lucida Sans Unicode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 xml:space="preserve"> (TR)</w:t>
            </w:r>
            <w:r>
              <w:rPr>
                <w:rFonts w:ascii="Arial" w:eastAsia="Lucida Sans Unicode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 xml:space="preserve"> - </w:t>
            </w:r>
            <w:r w:rsidR="006A30C8">
              <w:rPr>
                <w:rFonts w:ascii="Arial" w:eastAsia="Lucida Sans Unicode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>Habilitação jurídica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4A42B4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3B8EA0A1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4FAAD" w14:textId="1A3C9DCE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9.1</w:t>
            </w:r>
            <w:r w:rsidR="002326B1">
              <w:rPr>
                <w:rFonts w:ascii="Arial" w:hAnsi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D1A7FA" w14:textId="77777777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</w:pPr>
            <w:r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>CNPJ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25CF4D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4B51F441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B50A71" w14:textId="6DF69F49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9.1</w:t>
            </w:r>
            <w:r w:rsidR="002326B1"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5E759A" w14:textId="77777777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Spranq eco sans"/>
                <w:b/>
                <w:bCs/>
                <w:color w:val="000000"/>
                <w:sz w:val="20"/>
                <w:szCs w:val="20"/>
              </w:rPr>
              <w:t>Prova de regularidade fiscal perante a Fazenda Nacional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D28C01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5DF00EAC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43F0D" w14:textId="307BC515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9.1</w:t>
            </w:r>
            <w:r w:rsidR="002326B1">
              <w:rPr>
                <w:rFonts w:ascii="Arial" w:hAnsi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39C9A" w14:textId="77777777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Spranq eco sans"/>
                <w:b/>
                <w:bCs/>
                <w:color w:val="000000"/>
                <w:sz w:val="20"/>
                <w:szCs w:val="20"/>
              </w:rPr>
              <w:t>FGTS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5BB9B4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4B831D99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FC5FB" w14:textId="3A283722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9.1</w:t>
            </w:r>
            <w:r w:rsidR="002326B1">
              <w:rPr>
                <w:rFonts w:ascii="Arial" w:hAnsi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B24CC" w14:textId="77777777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Spranq eco sans"/>
                <w:b/>
                <w:bCs/>
                <w:color w:val="000000"/>
                <w:sz w:val="20"/>
                <w:szCs w:val="20"/>
              </w:rPr>
              <w:t xml:space="preserve">Prova de inexistência de débitos inadimplidos perante a Justiça do </w:t>
            </w:r>
            <w:r>
              <w:rPr>
                <w:rFonts w:ascii="Arial" w:hAnsi="Arial" w:cs="Spranq eco sans"/>
                <w:b/>
                <w:bCs/>
                <w:color w:val="000000"/>
                <w:sz w:val="20"/>
                <w:szCs w:val="20"/>
              </w:rPr>
              <w:t>Trabalho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8F6E30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39A9F9CD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136195" w14:textId="7AAB2563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9.1</w:t>
            </w:r>
            <w:r w:rsidR="002326B1">
              <w:rPr>
                <w:rFonts w:ascii="Arial" w:hAnsi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93534B" w14:textId="77777777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</w:pPr>
            <w:r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>Prova de inscrição no cadastro de contribuintes municipal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EF26A2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4F8B08AE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0F2C8" w14:textId="2D0B64F2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9.</w:t>
            </w:r>
            <w:r w:rsidR="002326B1">
              <w:rPr>
                <w:rFonts w:ascii="Arial" w:hAnsi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CEBD2B" w14:textId="77777777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</w:pPr>
            <w:r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>Prova de regularidade com a Fazenda Municipal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3C04A5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6D813968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8D3C7" w14:textId="346D2DBC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9.2</w:t>
            </w:r>
            <w:r w:rsidR="002326B1">
              <w:rPr>
                <w:rFonts w:ascii="Arial" w:hAnsi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414798" w14:textId="77777777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</w:pPr>
            <w:r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 xml:space="preserve">Certidão negativa de falência, recuperação judicial ou recuperação extrajudicial expedida pelo distribuidor da sede do </w:t>
            </w:r>
            <w:r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>licitante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6464F0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4580E8DF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42C1E" w14:textId="179576EA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9.2</w:t>
            </w:r>
            <w:r w:rsidR="002326B1">
              <w:rPr>
                <w:rFonts w:ascii="Arial" w:hAnsi="Arial"/>
                <w:b/>
                <w:bCs/>
                <w:sz w:val="20"/>
                <w:szCs w:val="20"/>
              </w:rPr>
              <w:t>5 e 9.26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9D2C94" w14:textId="77777777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</w:pPr>
            <w:r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>Balanço patrimonial e Demonstração de Resultado do Exercício (DRE) do último exercício social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C3EDA7" w14:textId="77777777" w:rsidR="008D1FE1" w:rsidRDefault="008D1FE1">
            <w:pPr>
              <w:pStyle w:val="TableContents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8D1FE1" w14:paraId="1AB65AF9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F2CF05" w14:textId="77777777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9.24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FCB3DB" w14:textId="77777777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</w:pPr>
            <w:r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>Comprovação de patrimônio líquido de 10% (dez por cento) do valor estimado da contratação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8CA582" w14:textId="77777777" w:rsidR="008D1FE1" w:rsidRDefault="008D1FE1">
            <w:pPr>
              <w:pStyle w:val="Standard"/>
              <w:jc w:val="both"/>
              <w:rPr>
                <w:rFonts w:ascii="Arial" w:hAnsi="Arial" w:cs="Spranq eco sans"/>
                <w:b/>
                <w:bCs/>
                <w:w w:val="90"/>
                <w:sz w:val="20"/>
                <w:szCs w:val="20"/>
              </w:rPr>
            </w:pPr>
          </w:p>
        </w:tc>
      </w:tr>
      <w:tr w:rsidR="008D1FE1" w14:paraId="7DF29EC8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9039A4" w14:textId="77777777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9.29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001AFF" w14:textId="5CDA2E78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</w:pPr>
            <w:r w:rsidRPr="006A30C8">
              <w:rPr>
                <w:rFonts w:ascii="Arial" w:hAnsi="Arial" w:cs="Spranq eco sans"/>
                <w:b/>
                <w:bCs/>
                <w:w w:val="90"/>
                <w:sz w:val="20"/>
                <w:szCs w:val="20"/>
              </w:rPr>
              <w:t>Anexo V</w:t>
            </w:r>
            <w:r w:rsidRPr="006A30C8">
              <w:rPr>
                <w:rFonts w:ascii="Arial" w:hAnsi="Arial" w:cs="Spranq eco sans"/>
                <w:b/>
                <w:bCs/>
                <w:w w:val="90"/>
                <w:sz w:val="20"/>
                <w:szCs w:val="20"/>
              </w:rPr>
              <w:t xml:space="preserve"> </w:t>
            </w:r>
            <w:r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>– Atestado de Vistoria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18A158" w14:textId="77777777" w:rsidR="008D1FE1" w:rsidRDefault="008D1FE1">
            <w:pPr>
              <w:pStyle w:val="Standard"/>
              <w:jc w:val="both"/>
              <w:rPr>
                <w:rFonts w:ascii="Arial" w:hAnsi="Arial" w:cs="Spranq eco sans"/>
                <w:b/>
                <w:bCs/>
                <w:w w:val="90"/>
                <w:sz w:val="20"/>
                <w:szCs w:val="20"/>
              </w:rPr>
            </w:pPr>
          </w:p>
        </w:tc>
      </w:tr>
      <w:tr w:rsidR="008D1FE1" w14:paraId="46A942D3" w14:textId="77777777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10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9EC18C" w14:textId="1EDFFE3A" w:rsidR="008D1FE1" w:rsidRDefault="006A30C8">
            <w:pPr>
              <w:pStyle w:val="TableContents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9.3</w:t>
            </w:r>
            <w:r w:rsidR="00803931">
              <w:rPr>
                <w:rFonts w:ascii="Arial" w:hAnsi="Arial"/>
                <w:b/>
                <w:bCs/>
                <w:sz w:val="20"/>
                <w:szCs w:val="20"/>
              </w:rPr>
              <w:t>4 a 9.36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3D3F4" w14:textId="77777777" w:rsidR="008D1FE1" w:rsidRDefault="006A30C8">
            <w:pPr>
              <w:pStyle w:val="Standard"/>
              <w:tabs>
                <w:tab w:val="left" w:pos="1440"/>
              </w:tabs>
              <w:suppressAutoHyphens w:val="0"/>
              <w:autoSpaceDE w:val="0"/>
              <w:jc w:val="both"/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</w:pPr>
            <w:r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 xml:space="preserve">Atestados de capacidade técnica que comprovem que o licitante gerencia ou </w:t>
            </w:r>
            <w:r>
              <w:rPr>
                <w:rFonts w:ascii="Arial" w:hAnsi="Arial" w:cs="Spranq eco sans"/>
                <w:b/>
                <w:bCs/>
                <w:color w:val="000000"/>
                <w:w w:val="90"/>
                <w:sz w:val="20"/>
                <w:szCs w:val="20"/>
              </w:rPr>
              <w:t>gerenciou serviços de terceirização compatíveis com o objeto licitado por período não inferior a 3 (três) anos</w:t>
            </w:r>
          </w:p>
        </w:tc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97050B" w14:textId="77777777" w:rsidR="008D1FE1" w:rsidRDefault="008D1FE1">
            <w:pPr>
              <w:pStyle w:val="Standard"/>
              <w:jc w:val="both"/>
              <w:rPr>
                <w:rFonts w:ascii="Arial" w:hAnsi="Arial" w:cs="Spranq eco sans"/>
                <w:b/>
                <w:bCs/>
                <w:w w:val="90"/>
                <w:sz w:val="20"/>
                <w:szCs w:val="20"/>
              </w:rPr>
            </w:pPr>
          </w:p>
        </w:tc>
      </w:tr>
    </w:tbl>
    <w:p w14:paraId="66756B99" w14:textId="77777777" w:rsidR="008D1FE1" w:rsidRDefault="008D1FE1">
      <w:pPr>
        <w:pStyle w:val="Standard"/>
        <w:tabs>
          <w:tab w:val="left" w:pos="0"/>
          <w:tab w:val="left" w:pos="709"/>
        </w:tabs>
        <w:ind w:right="21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41ADA958" w14:textId="77777777" w:rsidR="008D1FE1" w:rsidRDefault="008D1FE1">
      <w:pPr>
        <w:pStyle w:val="Standard"/>
        <w:tabs>
          <w:tab w:val="left" w:pos="0"/>
          <w:tab w:val="left" w:pos="709"/>
        </w:tabs>
        <w:ind w:right="21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sectPr w:rsidR="008D1FE1">
      <w:headerReference w:type="default" r:id="rId6"/>
      <w:footerReference w:type="default" r:id="rId7"/>
      <w:pgSz w:w="11906" w:h="16838"/>
      <w:pgMar w:top="624" w:right="1134" w:bottom="170" w:left="1134" w:header="17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54ED0" w14:textId="77777777" w:rsidR="006A30C8" w:rsidRDefault="006A30C8">
      <w:r>
        <w:separator/>
      </w:r>
    </w:p>
  </w:endnote>
  <w:endnote w:type="continuationSeparator" w:id="0">
    <w:p w14:paraId="665E9089" w14:textId="77777777" w:rsidR="006A30C8" w:rsidRDefault="006A3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0">
    <w:charset w:val="00"/>
    <w:family w:val="auto"/>
    <w:pitch w:val="variable"/>
  </w:font>
  <w:font w:name="Spranq eco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1C36B" w14:textId="77777777" w:rsidR="006A30C8" w:rsidRDefault="006A30C8">
    <w:pPr>
      <w:pStyle w:val="Rodap"/>
    </w:pPr>
  </w:p>
  <w:tbl>
    <w:tblPr>
      <w:tblW w:w="9355" w:type="dxa"/>
      <w:tblInd w:w="-55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855"/>
      <w:gridCol w:w="5500"/>
    </w:tblGrid>
    <w:tr w:rsidR="00E235BB" w14:paraId="640046B0" w14:textId="77777777">
      <w:tblPrEx>
        <w:tblCellMar>
          <w:top w:w="0" w:type="dxa"/>
          <w:bottom w:w="0" w:type="dxa"/>
        </w:tblCellMar>
      </w:tblPrEx>
      <w:tc>
        <w:tcPr>
          <w:tcW w:w="3855" w:type="dxa"/>
          <w:tcMar>
            <w:top w:w="0" w:type="dxa"/>
            <w:left w:w="108" w:type="dxa"/>
            <w:bottom w:w="0" w:type="dxa"/>
            <w:right w:w="108" w:type="dxa"/>
          </w:tcMar>
        </w:tcPr>
        <w:p w14:paraId="2252B7C4" w14:textId="77777777" w:rsidR="006A30C8" w:rsidRDefault="006A30C8">
          <w:pPr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noProof/>
              <w:color w:val="000000"/>
            </w:rPr>
            <w:drawing>
              <wp:anchor distT="0" distB="0" distL="114300" distR="114300" simplePos="0" relativeHeight="251662336" behindDoc="0" locked="0" layoutInCell="1" allowOverlap="1" wp14:anchorId="3750BFC4" wp14:editId="2FD9A077">
                <wp:simplePos x="0" y="0"/>
                <wp:positionH relativeFrom="column">
                  <wp:posOffset>132840</wp:posOffset>
                </wp:positionH>
                <wp:positionV relativeFrom="paragraph">
                  <wp:posOffset>58320</wp:posOffset>
                </wp:positionV>
                <wp:extent cx="1670760" cy="518759"/>
                <wp:effectExtent l="0" t="0" r="5640" b="0"/>
                <wp:wrapSquare wrapText="bothSides"/>
                <wp:docPr id="18984242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 l="-41" t="-124" r="-41" b="-12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0760" cy="5187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500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A609026" w14:textId="77777777" w:rsidR="006A30C8" w:rsidRDefault="006A30C8">
          <w:pPr>
            <w:jc w:val="both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 xml:space="preserve">Comissão responsável pelos mapeamentos dos fluxos e padronizações dos processos de aquisições do </w:t>
          </w:r>
          <w:r>
            <w:rPr>
              <w:rFonts w:ascii="Arial" w:eastAsia="Arial" w:hAnsi="Arial" w:cs="Arial"/>
              <w:sz w:val="16"/>
              <w:szCs w:val="16"/>
            </w:rPr>
            <w:t>Instituto Federal de Educação, Ciência e Tecnologia Catarinense.</w:t>
          </w:r>
        </w:p>
        <w:p w14:paraId="4586F99D" w14:textId="77777777" w:rsidR="006A30C8" w:rsidRDefault="006A30C8">
          <w:pPr>
            <w:jc w:val="both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Portaria IFC/Reitoria nº 32/2022-PROAD/IFC, de 28 de julho de 2022.</w:t>
          </w:r>
        </w:p>
        <w:p w14:paraId="6622E6E2" w14:textId="77777777" w:rsidR="006A30C8" w:rsidRDefault="006A30C8">
          <w:pPr>
            <w:jc w:val="both"/>
            <w:rPr>
              <w:rFonts w:ascii="Arial" w:eastAsia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eastAsia="Arial" w:hAnsi="Arial" w:cs="Arial"/>
              <w:b/>
              <w:sz w:val="16"/>
              <w:szCs w:val="16"/>
              <w:u w:val="single"/>
            </w:rPr>
            <w:t xml:space="preserve">Atualização: </w:t>
          </w:r>
          <w:proofErr w:type="gramStart"/>
          <w:r>
            <w:rPr>
              <w:rFonts w:ascii="Arial" w:eastAsia="Arial" w:hAnsi="Arial" w:cs="Arial"/>
              <w:b/>
              <w:sz w:val="16"/>
              <w:szCs w:val="16"/>
              <w:u w:val="single"/>
            </w:rPr>
            <w:t>Março</w:t>
          </w:r>
          <w:proofErr w:type="gramEnd"/>
          <w:r>
            <w:rPr>
              <w:rFonts w:ascii="Arial" w:eastAsia="Arial" w:hAnsi="Arial" w:cs="Arial"/>
              <w:b/>
              <w:sz w:val="16"/>
              <w:szCs w:val="16"/>
              <w:u w:val="single"/>
            </w:rPr>
            <w:t>/2023</w:t>
          </w:r>
        </w:p>
      </w:tc>
    </w:tr>
  </w:tbl>
  <w:p w14:paraId="79A4BEED" w14:textId="77777777" w:rsidR="006A30C8" w:rsidRDefault="006A30C8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81568" w14:textId="77777777" w:rsidR="006A30C8" w:rsidRDefault="006A30C8">
      <w:r>
        <w:rPr>
          <w:color w:val="000000"/>
        </w:rPr>
        <w:separator/>
      </w:r>
    </w:p>
  </w:footnote>
  <w:footnote w:type="continuationSeparator" w:id="0">
    <w:p w14:paraId="430F7043" w14:textId="77777777" w:rsidR="006A30C8" w:rsidRDefault="006A3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E0A44" w14:textId="77777777" w:rsidR="006A30C8" w:rsidRDefault="006A30C8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719CA902" wp14:editId="220CB813">
          <wp:simplePos x="0" y="0"/>
          <wp:positionH relativeFrom="column">
            <wp:posOffset>48240</wp:posOffset>
          </wp:positionH>
          <wp:positionV relativeFrom="paragraph">
            <wp:posOffset>-145440</wp:posOffset>
          </wp:positionV>
          <wp:extent cx="644400" cy="644400"/>
          <wp:effectExtent l="19050" t="19050" r="22350" b="22350"/>
          <wp:wrapNone/>
          <wp:docPr id="1357461059" name="Figura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4400" cy="644400"/>
                  </a:xfrm>
                  <a:prstGeom prst="rect">
                    <a:avLst/>
                  </a:prstGeom>
                  <a:noFill/>
                  <a:ln w="9398">
                    <a:solidFill>
                      <a:srgbClr val="FFFAFA"/>
                    </a:solidFill>
                    <a:prstDash val="solid"/>
                  </a:ln>
                </pic:spPr>
              </pic:pic>
            </a:graphicData>
          </a:graphic>
        </wp:anchor>
      </w:drawing>
    </w:r>
    <w:r>
      <w:rPr>
        <w:rFonts w:ascii="Arial" w:hAnsi="Arial"/>
        <w:sz w:val="20"/>
        <w:szCs w:val="20"/>
      </w:rPr>
      <w:t>Ministério da Educação</w:t>
    </w:r>
    <w:r>
      <w:rPr>
        <w:rFonts w:ascii="Arial" w:hAnsi="Arial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5CFE7E9A" wp14:editId="2A4BC1A6">
          <wp:simplePos x="0" y="0"/>
          <wp:positionH relativeFrom="column">
            <wp:posOffset>5316840</wp:posOffset>
          </wp:positionH>
          <wp:positionV relativeFrom="paragraph">
            <wp:posOffset>-108000</wp:posOffset>
          </wp:positionV>
          <wp:extent cx="677520" cy="625320"/>
          <wp:effectExtent l="0" t="0" r="8280" b="3330"/>
          <wp:wrapNone/>
          <wp:docPr id="741464491" name="Figura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7520" cy="6253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EAC9889" w14:textId="77777777" w:rsidR="006A30C8" w:rsidRDefault="006A30C8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Secretaria de Educação Profissional e Tecnológica</w:t>
    </w:r>
  </w:p>
  <w:p w14:paraId="6E64A4B2" w14:textId="77777777" w:rsidR="006A30C8" w:rsidRDefault="006A30C8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Instituto Federal Catarinense – Campus Blumenau</w:t>
    </w:r>
  </w:p>
  <w:p w14:paraId="260F3448" w14:textId="77777777" w:rsidR="006A30C8" w:rsidRDefault="006A30C8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Checklist Habilitação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D1FE1"/>
    <w:rsid w:val="00031353"/>
    <w:rsid w:val="002326B1"/>
    <w:rsid w:val="00597481"/>
    <w:rsid w:val="006A30C8"/>
    <w:rsid w:val="00803931"/>
    <w:rsid w:val="008D1FE1"/>
    <w:rsid w:val="00A34AC8"/>
    <w:rsid w:val="00A830AA"/>
    <w:rsid w:val="00E7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9810"/>
  <w15:docId w15:val="{AB2B3029-5375-42A6-B16D-93822528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HeaderandFooter"/>
  </w:style>
  <w:style w:type="paragraph" w:styleId="Rodap">
    <w:name w:val="foot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LO-normal">
    <w:name w:val="LO-normal"/>
    <w:pPr>
      <w:widowControl w:val="0"/>
    </w:pPr>
    <w:rPr>
      <w:rFonts w:eastAsia="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7">
    <w:name w:val="ListLabel 17"/>
    <w:rPr>
      <w:b w:val="0"/>
      <w:bCs w:val="0"/>
      <w:sz w:val="22"/>
      <w:szCs w:val="22"/>
    </w:rPr>
  </w:style>
  <w:style w:type="character" w:customStyle="1" w:styleId="ListLabel16">
    <w:name w:val="ListLabel 16"/>
    <w:rPr>
      <w:b w:val="0"/>
      <w:bCs w:val="0"/>
      <w:sz w:val="22"/>
      <w:szCs w:val="22"/>
    </w:rPr>
  </w:style>
  <w:style w:type="character" w:customStyle="1" w:styleId="ListLabel15">
    <w:name w:val="ListLabel 15"/>
    <w:rPr>
      <w:b w:val="0"/>
      <w:bCs w:val="0"/>
      <w:sz w:val="22"/>
      <w:szCs w:val="22"/>
    </w:rPr>
  </w:style>
  <w:style w:type="character" w:customStyle="1" w:styleId="ListLabel14">
    <w:name w:val="ListLabel 14"/>
    <w:rPr>
      <w:b w:val="0"/>
      <w:bCs w:val="0"/>
      <w:sz w:val="22"/>
      <w:szCs w:val="22"/>
    </w:rPr>
  </w:style>
  <w:style w:type="character" w:customStyle="1" w:styleId="ListLabel13">
    <w:name w:val="ListLabel 13"/>
    <w:rPr>
      <w:b w:val="0"/>
      <w:bCs w:val="0"/>
      <w:sz w:val="22"/>
      <w:szCs w:val="22"/>
    </w:rPr>
  </w:style>
  <w:style w:type="character" w:customStyle="1" w:styleId="ListLabel12">
    <w:name w:val="ListLabel 12"/>
    <w:rPr>
      <w:b w:val="0"/>
      <w:bCs w:val="0"/>
      <w:sz w:val="22"/>
      <w:szCs w:val="22"/>
    </w:rPr>
  </w:style>
  <w:style w:type="character" w:customStyle="1" w:styleId="ListLabel11">
    <w:name w:val="ListLabel 11"/>
    <w:rPr>
      <w:b w:val="0"/>
      <w:bCs w:val="0"/>
      <w:sz w:val="22"/>
      <w:szCs w:val="22"/>
    </w:rPr>
  </w:style>
  <w:style w:type="character" w:customStyle="1" w:styleId="ListLabel10">
    <w:name w:val="ListLabel 10"/>
    <w:rPr>
      <w:b w:val="0"/>
      <w:bCs w:val="0"/>
      <w:sz w:val="22"/>
      <w:szCs w:val="22"/>
    </w:rPr>
  </w:style>
  <w:style w:type="character" w:customStyle="1" w:styleId="ListLabel9">
    <w:name w:val="ListLabel 9"/>
    <w:rPr>
      <w:rFonts w:ascii="Spranq eco sans" w:eastAsia="Spranq eco sans" w:hAnsi="Spranq eco sans" w:cs="Spranq eco sans"/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223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Luís Antônio Naibo</dc:creator>
  <cp:lastModifiedBy>Luís Antônio Naibo</cp:lastModifiedBy>
  <cp:revision>5</cp:revision>
  <dcterms:created xsi:type="dcterms:W3CDTF">2025-10-01T12:21:00Z</dcterms:created>
  <dcterms:modified xsi:type="dcterms:W3CDTF">2025-10-01T13:24:00Z</dcterms:modified>
</cp:coreProperties>
</file>